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rPr>
          <w:i w:val="1"/>
          <w:sz w:val="32"/>
          <w:szCs w:val="32"/>
          <w:highlight w:val="yellow"/>
        </w:rPr>
      </w:pPr>
      <w:bookmarkStart w:colFirst="0" w:colLast="0" w:name="_6pp9xsnd7ygr" w:id="0"/>
      <w:bookmarkEnd w:id="0"/>
      <w:r w:rsidDel="00000000" w:rsidR="00000000" w:rsidRPr="00000000">
        <w:rPr>
          <w:sz w:val="32"/>
          <w:szCs w:val="32"/>
          <w:rtl w:val="0"/>
        </w:rPr>
        <w:t xml:space="preserve">Gegen Fake News, Hate Speech und Co.: Neue Angebote für Jugendliche in der </w:t>
      </w:r>
      <w:r w:rsidDel="00000000" w:rsidR="00000000" w:rsidRPr="00000000">
        <w:rPr>
          <w:i w:val="1"/>
          <w:sz w:val="32"/>
          <w:szCs w:val="32"/>
          <w:highlight w:val="yellow"/>
          <w:rtl w:val="0"/>
        </w:rPr>
        <w:t xml:space="preserve">Name Bibliothek</w:t>
      </w:r>
      <w:r w:rsidDel="00000000" w:rsidR="00000000" w:rsidRPr="00000000">
        <w:rPr>
          <w:rtl w:val="0"/>
        </w:rPr>
      </w:r>
    </w:p>
    <w:p w:rsidR="00000000" w:rsidDel="00000000" w:rsidP="00000000" w:rsidRDefault="00000000" w:rsidRPr="00000000" w14:paraId="00000002">
      <w:pPr>
        <w:pStyle w:val="Heading2"/>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i w:val="1"/>
          <w:sz w:val="24"/>
          <w:szCs w:val="24"/>
        </w:rPr>
      </w:pPr>
      <w:bookmarkStart w:colFirst="0" w:colLast="0" w:name="_f27q8sizpgyx" w:id="1"/>
      <w:bookmarkEnd w:id="1"/>
      <w:r w:rsidDel="00000000" w:rsidR="00000000" w:rsidRPr="00000000">
        <w:rPr>
          <w:i w:val="1"/>
          <w:sz w:val="24"/>
          <w:szCs w:val="24"/>
          <w:rtl w:val="0"/>
        </w:rPr>
        <w:t xml:space="preserve">Die </w:t>
      </w:r>
      <w:r w:rsidDel="00000000" w:rsidR="00000000" w:rsidRPr="00000000">
        <w:rPr>
          <w:i w:val="1"/>
          <w:sz w:val="24"/>
          <w:szCs w:val="24"/>
          <w:highlight w:val="yellow"/>
          <w:rtl w:val="0"/>
        </w:rPr>
        <w:t xml:space="preserve">Name Bibliothek</w:t>
      </w:r>
      <w:r w:rsidDel="00000000" w:rsidR="00000000" w:rsidRPr="00000000">
        <w:rPr>
          <w:i w:val="1"/>
          <w:sz w:val="24"/>
          <w:szCs w:val="24"/>
          <w:rtl w:val="0"/>
        </w:rPr>
        <w:t xml:space="preserve"> setzt sich mit den digitalen Services von Brockhaus für mehr Medienkompetenz bei Jugendlichen ein: Im spannenden Serious Game können sie gegen Fake News kämpfen, in interaktiven Lernmodulen ihre Fähigkeiten im Umgang mit digitalen Medien verbessern und im Schullexikon für Referate und Hausarbeiten recherchieren.</w:t>
      </w:r>
    </w:p>
    <w:p w:rsidR="00000000" w:rsidDel="00000000" w:rsidP="00000000" w:rsidRDefault="00000000" w:rsidRPr="00000000" w14:paraId="00000003">
      <w:pPr>
        <w:rPr/>
      </w:pPr>
      <w:r w:rsidDel="00000000" w:rsidR="00000000" w:rsidRPr="00000000">
        <w:rPr/>
        <w:drawing>
          <wp:inline distB="114300" distT="114300" distL="114300" distR="114300">
            <wp:extent cx="5731200" cy="3225800"/>
            <wp:effectExtent b="0" l="0" r="0" t="0"/>
            <wp:docPr id="1" name="image2.jpg"/>
            <a:graphic>
              <a:graphicData uri="http://schemas.openxmlformats.org/drawingml/2006/picture">
                <pic:pic>
                  <pic:nvPicPr>
                    <pic:cNvPr id="0" name="image2.jpg"/>
                    <pic:cNvPicPr preferRelativeResize="0"/>
                  </pic:nvPicPr>
                  <pic:blipFill>
                    <a:blip r:embed="rId6"/>
                    <a:srcRect b="0" l="0" r="0" t="0"/>
                    <a:stretch>
                      <a:fillRect/>
                    </a:stretch>
                  </pic:blipFill>
                  <pic:spPr>
                    <a:xfrm>
                      <a:off x="0" y="0"/>
                      <a:ext cx="5731200" cy="3225800"/>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rPr>
          <w:sz w:val="16"/>
          <w:szCs w:val="16"/>
        </w:rPr>
      </w:pPr>
      <w:r w:rsidDel="00000000" w:rsidR="00000000" w:rsidRPr="00000000">
        <w:rPr>
          <w:sz w:val="16"/>
          <w:szCs w:val="16"/>
          <w:rtl w:val="0"/>
        </w:rPr>
        <w:t xml:space="preserve">NE GmbH | Brockhaus</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i w:val="1"/>
          <w:sz w:val="24"/>
          <w:szCs w:val="24"/>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4"/>
          <w:szCs w:val="24"/>
        </w:rPr>
      </w:pPr>
      <w:r w:rsidDel="00000000" w:rsidR="00000000" w:rsidRPr="00000000">
        <w:rPr>
          <w:i w:val="1"/>
          <w:sz w:val="24"/>
          <w:szCs w:val="24"/>
          <w:highlight w:val="yellow"/>
          <w:rtl w:val="0"/>
        </w:rPr>
        <w:t xml:space="preserve">Stadt, Datum</w:t>
      </w:r>
      <w:r w:rsidDel="00000000" w:rsidR="00000000" w:rsidRPr="00000000">
        <w:rPr>
          <w:sz w:val="24"/>
          <w:szCs w:val="24"/>
          <w:rtl w:val="0"/>
        </w:rPr>
        <w:t xml:space="preserve"> </w:t>
      </w:r>
      <w:r w:rsidDel="00000000" w:rsidR="00000000" w:rsidRPr="00000000">
        <w:rPr>
          <w:sz w:val="24"/>
          <w:szCs w:val="24"/>
          <w:rtl w:val="0"/>
        </w:rPr>
        <w:t xml:space="preserve"> - </w:t>
      </w:r>
      <w:r w:rsidDel="00000000" w:rsidR="00000000" w:rsidRPr="00000000">
        <w:rPr>
          <w:sz w:val="24"/>
          <w:szCs w:val="24"/>
          <w:rtl w:val="0"/>
        </w:rPr>
        <w:t xml:space="preserve">Im Durchschnitt 201 Minuten verbringen 12 bis 19-Jährige Jugendliche im Jahr 2024 täglich online. Messenger‑Dienste wie WhatsApp dominieren laut der JIM-Studie 2024, gefolgt von Instagram, TikTok und Snapchat.</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4"/>
          <w:szCs w:val="24"/>
        </w:rPr>
      </w:pPr>
      <w:r w:rsidDel="00000000" w:rsidR="00000000" w:rsidRPr="00000000">
        <w:rPr>
          <w:sz w:val="24"/>
          <w:szCs w:val="24"/>
          <w:rtl w:val="0"/>
        </w:rPr>
        <w:t xml:space="preserve"> </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4"/>
          <w:szCs w:val="24"/>
        </w:rPr>
      </w:pPr>
      <w:r w:rsidDel="00000000" w:rsidR="00000000" w:rsidRPr="00000000">
        <w:rPr>
          <w:sz w:val="24"/>
          <w:szCs w:val="24"/>
          <w:rtl w:val="0"/>
        </w:rPr>
        <w:t xml:space="preserve">Obwohl viele Online‑Aktivitäten der Unterhaltung dienen, lauern hier auch ernste Gefahren und Risiken: 61 % der Jugendlichen begegneten kürzlich Fake News, 57 % berichteten von beleidigenden Kommentaren, 54 % von extremistischen Inhalten und </w:t>
      </w:r>
      <w:r w:rsidDel="00000000" w:rsidR="00000000" w:rsidRPr="00000000">
        <w:rPr>
          <w:sz w:val="24"/>
          <w:szCs w:val="24"/>
          <w:rtl w:val="0"/>
        </w:rPr>
        <w:t xml:space="preserve">40 %</w:t>
      </w:r>
      <w:r w:rsidDel="00000000" w:rsidR="00000000" w:rsidRPr="00000000">
        <w:rPr>
          <w:sz w:val="24"/>
          <w:szCs w:val="24"/>
          <w:rtl w:val="0"/>
        </w:rPr>
        <w:t xml:space="preserve"> von Hate Speech, also öffentlichen Äußerungen, die Hass gegenüber bestimmten Gruppen zum Ausdruck bringen oder zur Gewalt aufrufen.</w:t>
      </w:r>
    </w:p>
    <w:p w:rsidR="00000000" w:rsidDel="00000000" w:rsidP="00000000" w:rsidRDefault="00000000" w:rsidRPr="00000000" w14:paraId="0000000A">
      <w:pPr>
        <w:rPr>
          <w:sz w:val="24"/>
          <w:szCs w:val="24"/>
        </w:rPr>
      </w:pPr>
      <w:r w:rsidDel="00000000" w:rsidR="00000000" w:rsidRPr="00000000">
        <w:rPr>
          <w:rtl w:val="0"/>
        </w:rPr>
      </w:r>
    </w:p>
    <w:p w:rsidR="00000000" w:rsidDel="00000000" w:rsidP="00000000" w:rsidRDefault="00000000" w:rsidRPr="00000000" w14:paraId="0000000B">
      <w:pPr>
        <w:rPr>
          <w:sz w:val="24"/>
          <w:szCs w:val="24"/>
        </w:rPr>
      </w:pPr>
      <w:r w:rsidDel="00000000" w:rsidR="00000000" w:rsidRPr="00000000">
        <w:rPr>
          <w:sz w:val="24"/>
          <w:szCs w:val="24"/>
          <w:rtl w:val="0"/>
        </w:rPr>
        <w:t xml:space="preserve">Die</w:t>
      </w:r>
      <w:r w:rsidDel="00000000" w:rsidR="00000000" w:rsidRPr="00000000">
        <w:rPr>
          <w:sz w:val="24"/>
          <w:szCs w:val="24"/>
          <w:rtl w:val="0"/>
        </w:rPr>
        <w:t xml:space="preserve"> </w:t>
      </w:r>
      <w:r w:rsidDel="00000000" w:rsidR="00000000" w:rsidRPr="00000000">
        <w:rPr>
          <w:i w:val="1"/>
          <w:sz w:val="24"/>
          <w:szCs w:val="24"/>
          <w:highlight w:val="yellow"/>
          <w:rtl w:val="0"/>
        </w:rPr>
        <w:t xml:space="preserve">Name der Bibliothek</w:t>
      </w:r>
      <w:r w:rsidDel="00000000" w:rsidR="00000000" w:rsidRPr="00000000">
        <w:rPr>
          <w:sz w:val="24"/>
          <w:szCs w:val="24"/>
          <w:rtl w:val="0"/>
        </w:rPr>
        <w:t xml:space="preserve"> </w:t>
      </w:r>
      <w:r w:rsidDel="00000000" w:rsidR="00000000" w:rsidRPr="00000000">
        <w:rPr>
          <w:sz w:val="24"/>
          <w:szCs w:val="24"/>
          <w:rtl w:val="0"/>
        </w:rPr>
        <w:t xml:space="preserve">will Jugendliche deshalb mit neuen Angeboten dabei unterstützen, sich sicher und kompetent im digitalen Raum zu bewegen. Ab sofort können sie mit ihrem Bibliotheksausweis die digitalen Services für Schüler:innen ab der 5. Klasse von Brockhaus nutzen. Vom spannenden Serious Game “Exit the Fake” über interaktive Lernmodule zur Nutzung digitaler Medien bis zu redaktionell geprüften Informationen im Brockhaus Schullexikon: Die digitalen Ressourcen helfen Jugendlichen dabei, zuverlässige Informationen im Internet zu erkennen und kritisch zu hinterfragen, was sie online konsumieren. </w:t>
      </w:r>
    </w:p>
    <w:p w:rsidR="00000000" w:rsidDel="00000000" w:rsidP="00000000" w:rsidRDefault="00000000" w:rsidRPr="00000000" w14:paraId="0000000C">
      <w:pPr>
        <w:rPr>
          <w:sz w:val="24"/>
          <w:szCs w:val="24"/>
        </w:rPr>
      </w:pPr>
      <w:r w:rsidDel="00000000" w:rsidR="00000000" w:rsidRPr="00000000">
        <w:rPr>
          <w:rtl w:val="0"/>
        </w:rPr>
      </w:r>
    </w:p>
    <w:p w:rsidR="00000000" w:rsidDel="00000000" w:rsidP="00000000" w:rsidRDefault="00000000" w:rsidRPr="00000000" w14:paraId="0000000D">
      <w:pPr>
        <w:rPr>
          <w:sz w:val="24"/>
          <w:szCs w:val="24"/>
        </w:rPr>
      </w:pPr>
      <w:r w:rsidDel="00000000" w:rsidR="00000000" w:rsidRPr="00000000">
        <w:rPr>
          <w:rtl w:val="0"/>
        </w:rPr>
      </w:r>
    </w:p>
    <w:p w:rsidR="00000000" w:rsidDel="00000000" w:rsidP="00000000" w:rsidRDefault="00000000" w:rsidRPr="00000000" w14:paraId="0000000E">
      <w:pPr>
        <w:rPr>
          <w:b w:val="1"/>
          <w:sz w:val="24"/>
          <w:szCs w:val="24"/>
        </w:rPr>
      </w:pPr>
      <w:r w:rsidDel="00000000" w:rsidR="00000000" w:rsidRPr="00000000">
        <w:rPr>
          <w:b w:val="1"/>
          <w:sz w:val="24"/>
          <w:szCs w:val="24"/>
          <w:rtl w:val="0"/>
        </w:rPr>
        <w:t xml:space="preserve">Serious Game “Exit the Fake”: Spielend Fake News erkennen</w:t>
      </w:r>
    </w:p>
    <w:p w:rsidR="00000000" w:rsidDel="00000000" w:rsidP="00000000" w:rsidRDefault="00000000" w:rsidRPr="00000000" w14:paraId="0000000F">
      <w:pPr>
        <w:rPr>
          <w:sz w:val="24"/>
          <w:szCs w:val="24"/>
        </w:rPr>
      </w:pPr>
      <w:r w:rsidDel="00000000" w:rsidR="00000000" w:rsidRPr="00000000">
        <w:rPr>
          <w:rtl w:val="0"/>
        </w:rPr>
      </w:r>
    </w:p>
    <w:p w:rsidR="00000000" w:rsidDel="00000000" w:rsidP="00000000" w:rsidRDefault="00000000" w:rsidRPr="00000000" w14:paraId="00000010">
      <w:pPr>
        <w:rPr>
          <w:sz w:val="24"/>
          <w:szCs w:val="24"/>
        </w:rPr>
      </w:pPr>
      <w:r w:rsidDel="00000000" w:rsidR="00000000" w:rsidRPr="00000000">
        <w:rPr>
          <w:sz w:val="24"/>
          <w:szCs w:val="24"/>
          <w:rtl w:val="0"/>
        </w:rPr>
        <w:t xml:space="preserve">In einer fesselnden Spielhandlung lernen Jugendliche, Falschinformationen zu erkennen, einzuordnen und sie von seriösen Nachrichten zu unterscheiden. "Exit the Fake" ermöglicht es den Spieler:innen, auf spannende Weise einen reflektierten Umgang mit Informationen zu entwickeln und sich so sicherer in der digitalen Welt zu bewegen. Sie folgen einer mitreißenden Geschichte, die neben Wissen auch kritisches Denken vermittelt. </w:t>
      </w:r>
    </w:p>
    <w:p w:rsidR="00000000" w:rsidDel="00000000" w:rsidP="00000000" w:rsidRDefault="00000000" w:rsidRPr="00000000" w14:paraId="00000011">
      <w:pPr>
        <w:rPr>
          <w:sz w:val="24"/>
          <w:szCs w:val="24"/>
        </w:rPr>
      </w:pPr>
      <w:r w:rsidDel="00000000" w:rsidR="00000000" w:rsidRPr="00000000">
        <w:rPr>
          <w:rtl w:val="0"/>
        </w:rPr>
      </w:r>
    </w:p>
    <w:p w:rsidR="00000000" w:rsidDel="00000000" w:rsidP="00000000" w:rsidRDefault="00000000" w:rsidRPr="00000000" w14:paraId="00000012">
      <w:pPr>
        <w:rPr>
          <w:b w:val="1"/>
          <w:sz w:val="24"/>
          <w:szCs w:val="24"/>
        </w:rPr>
      </w:pPr>
      <w:r w:rsidDel="00000000" w:rsidR="00000000" w:rsidRPr="00000000">
        <w:rPr>
          <w:b w:val="1"/>
          <w:sz w:val="24"/>
          <w:szCs w:val="24"/>
          <w:rtl w:val="0"/>
        </w:rPr>
        <w:t xml:space="preserve">Lernmodule für Medienkompetenz: Dos and Don'ts im Internet</w:t>
      </w:r>
    </w:p>
    <w:p w:rsidR="00000000" w:rsidDel="00000000" w:rsidP="00000000" w:rsidRDefault="00000000" w:rsidRPr="00000000" w14:paraId="00000013">
      <w:pPr>
        <w:rPr>
          <w:b w:val="1"/>
          <w:sz w:val="24"/>
          <w:szCs w:val="24"/>
        </w:rPr>
      </w:pPr>
      <w:r w:rsidDel="00000000" w:rsidR="00000000" w:rsidRPr="00000000">
        <w:rPr>
          <w:rtl w:val="0"/>
        </w:rPr>
      </w:r>
    </w:p>
    <w:p w:rsidR="00000000" w:rsidDel="00000000" w:rsidP="00000000" w:rsidRDefault="00000000" w:rsidRPr="00000000" w14:paraId="00000014">
      <w:pPr>
        <w:rPr>
          <w:sz w:val="24"/>
          <w:szCs w:val="24"/>
        </w:rPr>
      </w:pPr>
      <w:r w:rsidDel="00000000" w:rsidR="00000000" w:rsidRPr="00000000">
        <w:rPr>
          <w:sz w:val="24"/>
          <w:szCs w:val="24"/>
          <w:rtl w:val="0"/>
        </w:rPr>
        <w:t xml:space="preserve">Für ein Referat recherchieren, künstliche Intelligenz verstehen, eine sichere Website erkennen: Diese und weitere Fähigkeiten erlernen Jugendliche in den Lernmodulen zur Medienkompetenz. Lebensnahe Beispiele und hilfreiche Tipps im Umgang mit digitalen Medien sorgen für Motivation – die Lernmodule zur Medienkompetenz sind so konzipiert, dass sie Jugendlichen nicht nur theoretisches Wissen vermitteln, sondern sie auch dazu ermutigen, dieses Wissen in ihrem Alltag anzuwenden.</w:t>
      </w:r>
    </w:p>
    <w:p w:rsidR="00000000" w:rsidDel="00000000" w:rsidP="00000000" w:rsidRDefault="00000000" w:rsidRPr="00000000" w14:paraId="00000015">
      <w:pPr>
        <w:rPr>
          <w:sz w:val="24"/>
          <w:szCs w:val="24"/>
        </w:rPr>
      </w:pPr>
      <w:r w:rsidDel="00000000" w:rsidR="00000000" w:rsidRPr="00000000">
        <w:rPr>
          <w:rtl w:val="0"/>
        </w:rPr>
      </w:r>
    </w:p>
    <w:p w:rsidR="00000000" w:rsidDel="00000000" w:rsidP="00000000" w:rsidRDefault="00000000" w:rsidRPr="00000000" w14:paraId="00000016">
      <w:pPr>
        <w:rPr>
          <w:b w:val="1"/>
          <w:sz w:val="24"/>
          <w:szCs w:val="24"/>
        </w:rPr>
      </w:pPr>
      <w:r w:rsidDel="00000000" w:rsidR="00000000" w:rsidRPr="00000000">
        <w:rPr>
          <w:b w:val="1"/>
          <w:sz w:val="24"/>
          <w:szCs w:val="24"/>
          <w:rtl w:val="0"/>
        </w:rPr>
        <w:t xml:space="preserve">Brockhaus Schullexikon: Perfekt für Referate und Hausarbeiten</w:t>
      </w:r>
    </w:p>
    <w:p w:rsidR="00000000" w:rsidDel="00000000" w:rsidP="00000000" w:rsidRDefault="00000000" w:rsidRPr="00000000" w14:paraId="00000017">
      <w:pPr>
        <w:rPr>
          <w:sz w:val="24"/>
          <w:szCs w:val="24"/>
        </w:rPr>
      </w:pPr>
      <w:r w:rsidDel="00000000" w:rsidR="00000000" w:rsidRPr="00000000">
        <w:rPr>
          <w:rtl w:val="0"/>
        </w:rPr>
      </w:r>
    </w:p>
    <w:p w:rsidR="00000000" w:rsidDel="00000000" w:rsidP="00000000" w:rsidRDefault="00000000" w:rsidRPr="00000000" w14:paraId="00000018">
      <w:pPr>
        <w:rPr>
          <w:sz w:val="24"/>
          <w:szCs w:val="24"/>
        </w:rPr>
      </w:pPr>
      <w:r w:rsidDel="00000000" w:rsidR="00000000" w:rsidRPr="00000000">
        <w:rPr>
          <w:sz w:val="24"/>
          <w:szCs w:val="24"/>
          <w:rtl w:val="0"/>
        </w:rPr>
        <w:t xml:space="preserve">Im Brockhaus Schullexikon finden Schüler:innen ab der 5. Klasse zuverlässige Informationen. Das Online-Nachschlagewerk eignet sich perfekt für den Einstieg in die Recherchearbeit für Referate und Hausarbeiten. Dafür sorgen kompakte Artikel, die in einer Sprache verfasst sind, die Jugendliche verstehen – unabhängig, werbefrei und redaktionell geprüft. </w:t>
      </w:r>
    </w:p>
    <w:p w:rsidR="00000000" w:rsidDel="00000000" w:rsidP="00000000" w:rsidRDefault="00000000" w:rsidRPr="00000000" w14:paraId="00000019">
      <w:pPr>
        <w:rPr>
          <w:sz w:val="24"/>
          <w:szCs w:val="24"/>
        </w:rPr>
      </w:pPr>
      <w:r w:rsidDel="00000000" w:rsidR="00000000" w:rsidRPr="00000000">
        <w:rPr>
          <w:rtl w:val="0"/>
        </w:rPr>
      </w:r>
    </w:p>
    <w:p w:rsidR="00000000" w:rsidDel="00000000" w:rsidP="00000000" w:rsidRDefault="00000000" w:rsidRPr="00000000" w14:paraId="0000001A">
      <w:pPr>
        <w:rPr>
          <w:sz w:val="24"/>
          <w:szCs w:val="24"/>
        </w:rPr>
      </w:pPr>
      <w:r w:rsidDel="00000000" w:rsidR="00000000" w:rsidRPr="00000000">
        <w:rPr>
          <w:sz w:val="24"/>
          <w:szCs w:val="24"/>
          <w:rtl w:val="0"/>
        </w:rPr>
        <w:t xml:space="preserve">Mit den digitalen Ressourcen von Brockhaus für Jugendliche bietet die </w:t>
      </w:r>
      <w:r w:rsidDel="00000000" w:rsidR="00000000" w:rsidRPr="00000000">
        <w:rPr>
          <w:i w:val="1"/>
          <w:sz w:val="24"/>
          <w:szCs w:val="24"/>
          <w:highlight w:val="yellow"/>
          <w:rtl w:val="0"/>
        </w:rPr>
        <w:t xml:space="preserve">Name Bibliothek</w:t>
      </w:r>
      <w:r w:rsidDel="00000000" w:rsidR="00000000" w:rsidRPr="00000000">
        <w:rPr>
          <w:sz w:val="24"/>
          <w:szCs w:val="24"/>
          <w:rtl w:val="0"/>
        </w:rPr>
        <w:t xml:space="preserve"> also ein umfassendes Paket zur Medienbildung von Jugendlichen. Sie können lernen, </w:t>
      </w:r>
      <w:r w:rsidDel="00000000" w:rsidR="00000000" w:rsidRPr="00000000">
        <w:rPr>
          <w:sz w:val="24"/>
          <w:szCs w:val="24"/>
          <w:rtl w:val="0"/>
        </w:rPr>
        <w:t xml:space="preserve">Fake News von vertrauenswürdigen Quellen zu unterscheiden, ihre Privatsphäre online zu schützen und sich vor möglichen Gefahren zu wappnen. Sie werden dazu ermutigt, bewusste Entscheidungen darüber zu treffen, wie sie digitale Medien nutzen und sich in der Online-Welt präsentieren.</w:t>
      </w:r>
    </w:p>
    <w:p w:rsidR="00000000" w:rsidDel="00000000" w:rsidP="00000000" w:rsidRDefault="00000000" w:rsidRPr="00000000" w14:paraId="0000001B">
      <w:pPr>
        <w:rPr>
          <w:sz w:val="24"/>
          <w:szCs w:val="24"/>
        </w:rPr>
      </w:pPr>
      <w:r w:rsidDel="00000000" w:rsidR="00000000" w:rsidRPr="00000000">
        <w:rPr>
          <w:rtl w:val="0"/>
        </w:rPr>
      </w:r>
    </w:p>
    <w:p w:rsidR="00000000" w:rsidDel="00000000" w:rsidP="00000000" w:rsidRDefault="00000000" w:rsidRPr="00000000" w14:paraId="0000001C">
      <w:pPr>
        <w:spacing w:line="240" w:lineRule="auto"/>
        <w:jc w:val="both"/>
        <w:rPr>
          <w:color w:val="ff0000"/>
          <w:sz w:val="24"/>
          <w:szCs w:val="24"/>
          <w:highlight w:val="yellow"/>
        </w:rPr>
      </w:pPr>
      <w:r w:rsidDel="00000000" w:rsidR="00000000" w:rsidRPr="00000000">
        <w:rPr>
          <w:color w:val="ff0000"/>
          <w:sz w:val="24"/>
          <w:szCs w:val="24"/>
          <w:highlight w:val="yellow"/>
          <w:rtl w:val="0"/>
        </w:rPr>
        <w:t xml:space="preserve">Auf Wunsch an dieser Stelle Absätze zu Zusatzkomponenten einfügen</w:t>
      </w:r>
    </w:p>
    <w:p w:rsidR="00000000" w:rsidDel="00000000" w:rsidP="00000000" w:rsidRDefault="00000000" w:rsidRPr="00000000" w14:paraId="0000001D">
      <w:pPr>
        <w:rPr>
          <w:sz w:val="24"/>
          <w:szCs w:val="24"/>
        </w:rPr>
      </w:pPr>
      <w:r w:rsidDel="00000000" w:rsidR="00000000" w:rsidRPr="00000000">
        <w:rPr>
          <w:rtl w:val="0"/>
        </w:rPr>
      </w:r>
    </w:p>
    <w:p w:rsidR="00000000" w:rsidDel="00000000" w:rsidP="00000000" w:rsidRDefault="00000000" w:rsidRPr="00000000" w14:paraId="0000001E">
      <w:pPr>
        <w:rPr>
          <w:b w:val="1"/>
          <w:sz w:val="24"/>
          <w:szCs w:val="24"/>
        </w:rPr>
      </w:pPr>
      <w:r w:rsidDel="00000000" w:rsidR="00000000" w:rsidRPr="00000000">
        <w:rPr>
          <w:b w:val="1"/>
          <w:sz w:val="24"/>
          <w:szCs w:val="24"/>
          <w:rtl w:val="0"/>
        </w:rPr>
        <w:t xml:space="preserve">Lesehilfen, Vorlesefunktion und Übersetzungsmöglichkeit</w:t>
      </w:r>
    </w:p>
    <w:p w:rsidR="00000000" w:rsidDel="00000000" w:rsidP="00000000" w:rsidRDefault="00000000" w:rsidRPr="00000000" w14:paraId="0000001F">
      <w:pPr>
        <w:rPr>
          <w:sz w:val="24"/>
          <w:szCs w:val="24"/>
        </w:rPr>
      </w:pPr>
      <w:r w:rsidDel="00000000" w:rsidR="00000000" w:rsidRPr="00000000">
        <w:rPr>
          <w:rtl w:val="0"/>
        </w:rPr>
      </w:r>
    </w:p>
    <w:p w:rsidR="00000000" w:rsidDel="00000000" w:rsidP="00000000" w:rsidRDefault="00000000" w:rsidRPr="00000000" w14:paraId="00000020">
      <w:pPr>
        <w:rPr>
          <w:sz w:val="24"/>
          <w:szCs w:val="24"/>
        </w:rPr>
      </w:pPr>
      <w:r w:rsidDel="00000000" w:rsidR="00000000" w:rsidRPr="00000000">
        <w:rPr>
          <w:sz w:val="24"/>
          <w:szCs w:val="24"/>
          <w:rtl w:val="0"/>
        </w:rPr>
        <w:t xml:space="preserve">Integrierte Lesehilfen und eine praktische Vorlesefunktion erleichtern zum Beispiel Menschen mit Lese-Rechtschreibstörung den Zugang zu Wissen. Deutschlernende haben die Möglichkeit, sich die Inhalte in über 60 Sprachen übersetzen zu lassen.</w:t>
      </w:r>
      <w:r w:rsidDel="00000000" w:rsidR="00000000" w:rsidRPr="00000000">
        <w:rPr>
          <w:rtl w:val="0"/>
        </w:rPr>
      </w:r>
    </w:p>
    <w:p w:rsidR="00000000" w:rsidDel="00000000" w:rsidP="00000000" w:rsidRDefault="00000000" w:rsidRPr="00000000" w14:paraId="00000021">
      <w:pPr>
        <w:rPr>
          <w:sz w:val="24"/>
          <w:szCs w:val="24"/>
        </w:rPr>
      </w:pPr>
      <w:r w:rsidDel="00000000" w:rsidR="00000000" w:rsidRPr="00000000">
        <w:rPr>
          <w:rtl w:val="0"/>
        </w:rPr>
      </w:r>
    </w:p>
    <w:p w:rsidR="00000000" w:rsidDel="00000000" w:rsidP="00000000" w:rsidRDefault="00000000" w:rsidRPr="00000000" w14:paraId="00000022">
      <w:pPr>
        <w:rPr>
          <w:sz w:val="24"/>
          <w:szCs w:val="24"/>
        </w:rPr>
      </w:pPr>
      <w:r w:rsidDel="00000000" w:rsidR="00000000" w:rsidRPr="00000000">
        <w:rPr>
          <w:sz w:val="24"/>
          <w:szCs w:val="24"/>
          <w:rtl w:val="0"/>
        </w:rPr>
        <w:t xml:space="preserve">Die </w:t>
      </w:r>
      <w:r w:rsidDel="00000000" w:rsidR="00000000" w:rsidRPr="00000000">
        <w:rPr>
          <w:i w:val="1"/>
          <w:sz w:val="24"/>
          <w:szCs w:val="24"/>
          <w:highlight w:val="yellow"/>
          <w:rtl w:val="0"/>
        </w:rPr>
        <w:t xml:space="preserve">Name Bibliothek</w:t>
      </w:r>
      <w:r w:rsidDel="00000000" w:rsidR="00000000" w:rsidRPr="00000000">
        <w:rPr>
          <w:sz w:val="24"/>
          <w:szCs w:val="24"/>
          <w:rtl w:val="0"/>
        </w:rPr>
        <w:t xml:space="preserve"> </w:t>
      </w:r>
      <w:r w:rsidDel="00000000" w:rsidR="00000000" w:rsidRPr="00000000">
        <w:rPr>
          <w:sz w:val="24"/>
          <w:szCs w:val="24"/>
          <w:highlight w:val="yellow"/>
          <w:rtl w:val="0"/>
        </w:rPr>
        <w:t xml:space="preserve">l</w:t>
      </w:r>
      <w:r w:rsidDel="00000000" w:rsidR="00000000" w:rsidRPr="00000000">
        <w:rPr>
          <w:sz w:val="24"/>
          <w:szCs w:val="24"/>
          <w:rtl w:val="0"/>
        </w:rPr>
        <w:t xml:space="preserve">ädt alle Interessierten dazu ein, diese neuen digitalen Angebote von Brockhaus auszuprobieren. Sie können die Services von überall aus nutzen. Alles, was sie brauchen, ist ein gültiger Bibliotheksausweis. Für weitere Informationen stehen die Mitarbeitenden zu den Öffnungszeiten gerne zur Verfügung. </w:t>
      </w:r>
    </w:p>
    <w:p w:rsidR="00000000" w:rsidDel="00000000" w:rsidP="00000000" w:rsidRDefault="00000000" w:rsidRPr="00000000" w14:paraId="00000023">
      <w:pPr>
        <w:rPr>
          <w:sz w:val="24"/>
          <w:szCs w:val="24"/>
        </w:rPr>
      </w:pPr>
      <w:r w:rsidDel="00000000" w:rsidR="00000000" w:rsidRPr="00000000">
        <w:rPr>
          <w:rtl w:val="0"/>
        </w:rPr>
      </w:r>
    </w:p>
    <w:p w:rsidR="00000000" w:rsidDel="00000000" w:rsidP="00000000" w:rsidRDefault="00000000" w:rsidRPr="00000000" w14:paraId="00000024">
      <w:pPr>
        <w:spacing w:line="240" w:lineRule="auto"/>
        <w:jc w:val="both"/>
        <w:rPr>
          <w:color w:val="ff0000"/>
          <w:sz w:val="24"/>
          <w:szCs w:val="24"/>
          <w:highlight w:val="yellow"/>
        </w:rPr>
      </w:pPr>
      <w:r w:rsidDel="00000000" w:rsidR="00000000" w:rsidRPr="00000000">
        <w:rPr>
          <w:color w:val="ff0000"/>
          <w:sz w:val="24"/>
          <w:szCs w:val="24"/>
          <w:highlight w:val="yellow"/>
          <w:rtl w:val="0"/>
        </w:rPr>
        <w:t xml:space="preserve">Auf Wunsch an dieser Stelle Adresse/Öffnungszeiten Ihrer Bibliothek einfügen</w:t>
      </w:r>
    </w:p>
    <w:p w:rsidR="00000000" w:rsidDel="00000000" w:rsidP="00000000" w:rsidRDefault="00000000" w:rsidRPr="00000000" w14:paraId="00000025">
      <w:pPr>
        <w:spacing w:line="240" w:lineRule="auto"/>
        <w:jc w:val="both"/>
        <w:rPr>
          <w:sz w:val="24"/>
          <w:szCs w:val="24"/>
        </w:rPr>
      </w:pPr>
      <w:r w:rsidDel="00000000" w:rsidR="00000000" w:rsidRPr="00000000">
        <w:rPr>
          <w:rtl w:val="0"/>
        </w:rPr>
      </w:r>
    </w:p>
    <w:p w:rsidR="00000000" w:rsidDel="00000000" w:rsidP="00000000" w:rsidRDefault="00000000" w:rsidRPr="00000000" w14:paraId="00000026">
      <w:pPr>
        <w:spacing w:line="288" w:lineRule="auto"/>
        <w:jc w:val="both"/>
        <w:rPr>
          <w:b w:val="1"/>
          <w:sz w:val="24"/>
          <w:szCs w:val="24"/>
        </w:rPr>
      </w:pPr>
      <w:r w:rsidDel="00000000" w:rsidR="00000000" w:rsidRPr="00000000">
        <w:rPr>
          <w:rtl w:val="0"/>
        </w:rPr>
      </w:r>
    </w:p>
    <w:p w:rsidR="00000000" w:rsidDel="00000000" w:rsidP="00000000" w:rsidRDefault="00000000" w:rsidRPr="00000000" w14:paraId="00000027">
      <w:pPr>
        <w:pBdr>
          <w:top w:color="e3e3e3" w:space="0" w:sz="0" w:val="none"/>
          <w:left w:color="e3e3e3" w:space="0" w:sz="0" w:val="none"/>
          <w:bottom w:color="e3e3e3" w:space="0" w:sz="0" w:val="none"/>
          <w:right w:color="e3e3e3" w:space="0" w:sz="0" w:val="none"/>
          <w:between w:color="e3e3e3" w:space="0" w:sz="0" w:val="none"/>
        </w:pBdr>
        <w:shd w:fill="ffffff" w:val="clear"/>
        <w:spacing w:after="240" w:before="240" w:lineRule="auto"/>
        <w:jc w:val="both"/>
        <w:rPr>
          <w:b w:val="1"/>
          <w:sz w:val="20"/>
          <w:szCs w:val="20"/>
        </w:rPr>
      </w:pPr>
      <w:r w:rsidDel="00000000" w:rsidR="00000000" w:rsidRPr="00000000">
        <w:rPr>
          <w:b w:val="1"/>
          <w:sz w:val="20"/>
          <w:szCs w:val="20"/>
          <w:rtl w:val="0"/>
        </w:rPr>
        <w:t xml:space="preserve">Über </w:t>
      </w:r>
      <w:r w:rsidDel="00000000" w:rsidR="00000000" w:rsidRPr="00000000">
        <w:rPr>
          <w:b w:val="1"/>
          <w:i w:val="1"/>
          <w:sz w:val="20"/>
          <w:szCs w:val="20"/>
          <w:highlight w:val="yellow"/>
          <w:rtl w:val="0"/>
        </w:rPr>
        <w:t xml:space="preserve">Name Bibliothek</w:t>
      </w:r>
      <w:r w:rsidDel="00000000" w:rsidR="00000000" w:rsidRPr="00000000">
        <w:rPr>
          <w:b w:val="1"/>
          <w:sz w:val="20"/>
          <w:szCs w:val="20"/>
          <w:rtl w:val="0"/>
        </w:rPr>
        <w:t xml:space="preserve"> </w:t>
      </w:r>
      <w:r w:rsidDel="00000000" w:rsidR="00000000" w:rsidRPr="00000000">
        <w:rPr>
          <w:rtl w:val="0"/>
        </w:rPr>
      </w:r>
    </w:p>
    <w:p w:rsidR="00000000" w:rsidDel="00000000" w:rsidP="00000000" w:rsidRDefault="00000000" w:rsidRPr="00000000" w14:paraId="00000028">
      <w:pPr>
        <w:spacing w:line="288" w:lineRule="auto"/>
        <w:jc w:val="both"/>
        <w:rPr>
          <w:b w:val="1"/>
          <w:sz w:val="20"/>
          <w:szCs w:val="20"/>
        </w:rPr>
      </w:pPr>
      <w:r w:rsidDel="00000000" w:rsidR="00000000" w:rsidRPr="00000000">
        <w:rPr>
          <w:rtl w:val="0"/>
        </w:rPr>
      </w:r>
    </w:p>
    <w:p w:rsidR="00000000" w:rsidDel="00000000" w:rsidP="00000000" w:rsidRDefault="00000000" w:rsidRPr="00000000" w14:paraId="00000029">
      <w:pPr>
        <w:spacing w:line="288" w:lineRule="auto"/>
        <w:jc w:val="both"/>
        <w:rPr>
          <w:b w:val="1"/>
          <w:sz w:val="20"/>
          <w:szCs w:val="20"/>
        </w:rPr>
      </w:pPr>
      <w:r w:rsidDel="00000000" w:rsidR="00000000" w:rsidRPr="00000000">
        <w:rPr>
          <w:b w:val="1"/>
          <w:sz w:val="20"/>
          <w:szCs w:val="20"/>
          <w:rtl w:val="0"/>
        </w:rPr>
        <w:t xml:space="preserve">Über Brockhaus</w:t>
      </w:r>
    </w:p>
    <w:p w:rsidR="00000000" w:rsidDel="00000000" w:rsidP="00000000" w:rsidRDefault="00000000" w:rsidRPr="00000000" w14:paraId="0000002A">
      <w:pPr>
        <w:spacing w:line="288" w:lineRule="auto"/>
        <w:rPr>
          <w:color w:val="1155cc"/>
          <w:sz w:val="20"/>
          <w:szCs w:val="20"/>
          <w:u w:val="single"/>
        </w:rPr>
      </w:pPr>
      <w:r w:rsidDel="00000000" w:rsidR="00000000" w:rsidRPr="00000000">
        <w:rPr>
          <w:sz w:val="20"/>
          <w:szCs w:val="20"/>
          <w:rtl w:val="0"/>
        </w:rPr>
        <w:t xml:space="preserve">Die Brockhaus | NE GmbH mit Sitz in München steht für den Wandel vom renommierten Wissensverlag zum innovativen digitalen Bildungsanbieter. Aufbauend auf der über 200-jährigen Geschichte der Marke Brockhaus, die seit 1805 für geprüftes Wissen im deutschsprachigen Raum steht, wurde die Brockhaus | NE GmbH 2015 als hundertprozentige Tochter des führenden schwedischen Bildungsanbieters NE Nationalencyklopedin AB gegründet. Mit seinen Wissensdiensten, Lehr- und Lernmaterialien unterstützt Brockhaus Menschen aller Altersgruppen beim selbstbestimmten Lernen in einer digitalen Welt mit besonderem Fokus auf Lehrkräfte, Schulen, Bibliotheken und Privathaushalte. Das Portfolio reicht dabei von strukturierten, fachlich fundierten Inhalten, interaktiven Kursen und digitalen Unterrichtseinheiten (sogenannten EdSnacks) über Online-Enzyklopädien für Kinder, Schüler:innen und Erwachsene bis hin zu kuratierten KI-Anwendungen und Angeboten zur Entwicklung von Medienkompetenzen. Weitere Informationen unter:</w:t>
      </w:r>
      <w:hyperlink r:id="rId7">
        <w:r w:rsidDel="00000000" w:rsidR="00000000" w:rsidRPr="00000000">
          <w:rPr>
            <w:sz w:val="20"/>
            <w:szCs w:val="20"/>
            <w:rtl w:val="0"/>
          </w:rPr>
          <w:t xml:space="preserve"> </w:t>
        </w:r>
      </w:hyperlink>
      <w:hyperlink r:id="rId8">
        <w:r w:rsidDel="00000000" w:rsidR="00000000" w:rsidRPr="00000000">
          <w:rPr>
            <w:color w:val="1155cc"/>
            <w:sz w:val="20"/>
            <w:szCs w:val="20"/>
            <w:u w:val="single"/>
            <w:rtl w:val="0"/>
          </w:rPr>
          <w:t xml:space="preserve">www.brockhaus.d</w:t>
        </w:r>
      </w:hyperlink>
      <w:r w:rsidDel="00000000" w:rsidR="00000000" w:rsidRPr="00000000">
        <w:rPr>
          <w:color w:val="1155cc"/>
          <w:sz w:val="20"/>
          <w:szCs w:val="20"/>
          <w:u w:val="single"/>
          <w:rtl w:val="0"/>
        </w:rPr>
        <w:t xml:space="preserve">e</w:t>
      </w:r>
    </w:p>
    <w:p w:rsidR="00000000" w:rsidDel="00000000" w:rsidP="00000000" w:rsidRDefault="00000000" w:rsidRPr="00000000" w14:paraId="0000002B">
      <w:pPr>
        <w:widowControl w:val="0"/>
        <w:spacing w:line="288" w:lineRule="auto"/>
        <w:rPr>
          <w:color w:val="ff0000"/>
          <w:sz w:val="20"/>
          <w:szCs w:val="20"/>
        </w:rPr>
      </w:pPr>
      <w:r w:rsidDel="00000000" w:rsidR="00000000" w:rsidRPr="00000000">
        <w:rPr>
          <w:rtl w:val="0"/>
        </w:rPr>
      </w:r>
    </w:p>
    <w:p w:rsidR="00000000" w:rsidDel="00000000" w:rsidP="00000000" w:rsidRDefault="00000000" w:rsidRPr="00000000" w14:paraId="0000002C">
      <w:pPr>
        <w:widowControl w:val="0"/>
        <w:spacing w:line="288" w:lineRule="auto"/>
        <w:rPr>
          <w:i w:val="1"/>
          <w:sz w:val="20"/>
          <w:szCs w:val="20"/>
        </w:rPr>
      </w:pPr>
      <w:r w:rsidDel="00000000" w:rsidR="00000000" w:rsidRPr="00000000">
        <w:rPr>
          <w:i w:val="1"/>
          <w:sz w:val="20"/>
          <w:szCs w:val="20"/>
          <w:highlight w:val="yellow"/>
          <w:rtl w:val="0"/>
        </w:rPr>
        <w:t xml:space="preserve">Kontakt Bibliothek</w:t>
      </w:r>
      <w:r w:rsidDel="00000000" w:rsidR="00000000" w:rsidRPr="00000000">
        <w:rPr>
          <w:rtl w:val="0"/>
        </w:rPr>
      </w:r>
    </w:p>
    <w:p w:rsidR="00000000" w:rsidDel="00000000" w:rsidP="00000000" w:rsidRDefault="00000000" w:rsidRPr="00000000" w14:paraId="0000002D">
      <w:pPr>
        <w:spacing w:line="288" w:lineRule="auto"/>
        <w:rPr>
          <w:b w:val="1"/>
          <w:sz w:val="20"/>
          <w:szCs w:val="20"/>
        </w:rPr>
      </w:pPr>
      <w:r w:rsidDel="00000000" w:rsidR="00000000" w:rsidRPr="00000000">
        <w:rPr>
          <w:rtl w:val="0"/>
        </w:rPr>
      </w:r>
    </w:p>
    <w:p w:rsidR="00000000" w:rsidDel="00000000" w:rsidP="00000000" w:rsidRDefault="00000000" w:rsidRPr="00000000" w14:paraId="0000002E">
      <w:pPr>
        <w:widowControl w:val="0"/>
        <w:spacing w:line="288" w:lineRule="auto"/>
        <w:rPr>
          <w:sz w:val="24"/>
          <w:szCs w:val="24"/>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sectPr>
      <w:headerReference r:id="rId9"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1">
    <w:pPr>
      <w:jc w:val="right"/>
      <w:rPr/>
    </w:pPr>
    <w:r w:rsidDel="00000000" w:rsidR="00000000" w:rsidRPr="00000000">
      <w:rPr>
        <w:rtl w:val="0"/>
      </w:rPr>
      <w:tab/>
      <w:tab/>
      <w:tab/>
      <w:tab/>
      <w:tab/>
      <w:tab/>
      <w:tab/>
      <w:tab/>
      <w:tab/>
      <w:tab/>
      <w:tab/>
    </w:r>
  </w:p>
  <w:p w:rsidR="00000000" w:rsidDel="00000000" w:rsidP="00000000" w:rsidRDefault="00000000" w:rsidRPr="00000000" w14:paraId="00000032">
    <w:pPr>
      <w:jc w:val="right"/>
      <w:rPr>
        <w:i w:val="1"/>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jc w:val="right"/>
      <w:rPr/>
    </w:pPr>
    <w:r w:rsidDel="00000000" w:rsidR="00000000" w:rsidRPr="00000000">
      <w:rPr>
        <w:rtl w:val="0"/>
      </w:rPr>
    </w:r>
  </w:p>
  <w:p w:rsidR="00000000" w:rsidDel="00000000" w:rsidP="00000000" w:rsidRDefault="00000000" w:rsidRPr="00000000" w14:paraId="00000036">
    <w:pPr>
      <w:jc w:val="right"/>
      <w:rPr/>
    </w:pPr>
    <w:r w:rsidDel="00000000" w:rsidR="00000000" w:rsidRPr="00000000">
      <w:rPr>
        <w:rtl w:val="0"/>
      </w:rPr>
      <w:tab/>
      <w:tab/>
    </w:r>
    <w:r w:rsidDel="00000000" w:rsidR="00000000" w:rsidRPr="00000000">
      <w:rPr/>
      <w:drawing>
        <wp:anchor allowOverlap="1" behindDoc="0" distB="114300" distT="114300" distL="114300" distR="114300" hidden="0" layoutInCell="1" locked="0" relativeHeight="0" simplePos="0">
          <wp:simplePos x="0" y="0"/>
          <wp:positionH relativeFrom="page">
            <wp:posOffset>5426400</wp:posOffset>
          </wp:positionH>
          <wp:positionV relativeFrom="page">
            <wp:posOffset>456200</wp:posOffset>
          </wp:positionV>
          <wp:extent cx="1219200" cy="714375"/>
          <wp:effectExtent b="0" l="0" r="0" t="0"/>
          <wp:wrapSquare wrapText="bothSides" distB="114300" distT="114300" distL="114300" distR="114300"/>
          <wp:docPr id="2" name="image1.png"/>
          <a:graphic>
            <a:graphicData uri="http://schemas.openxmlformats.org/drawingml/2006/picture">
              <pic:pic>
                <pic:nvPicPr>
                  <pic:cNvPr id="0" name="image1.png"/>
                  <pic:cNvPicPr preferRelativeResize="0"/>
                </pic:nvPicPr>
                <pic:blipFill>
                  <a:blip r:embed="rId1"/>
                  <a:srcRect b="17968" l="0" r="0" t="23437"/>
                  <a:stretch>
                    <a:fillRect/>
                  </a:stretch>
                </pic:blipFill>
                <pic:spPr>
                  <a:xfrm>
                    <a:off x="0" y="0"/>
                    <a:ext cx="1219200" cy="714375"/>
                  </a:xfrm>
                  <a:prstGeom prst="rect"/>
                  <a:ln/>
                </pic:spPr>
              </pic:pic>
            </a:graphicData>
          </a:graphic>
        </wp:anchor>
      </w:drawing>
    </w:r>
    <w:r w:rsidDel="00000000" w:rsidR="00000000" w:rsidRPr="00000000">
      <w:rPr/>
      <w:drawing>
        <wp:anchor allowOverlap="1" behindDoc="0" distB="114300" distT="114300" distL="114300" distR="114300" hidden="0" layoutInCell="1" locked="0" relativeHeight="0" simplePos="0">
          <wp:simplePos x="0" y="0"/>
          <wp:positionH relativeFrom="page">
            <wp:posOffset>914400</wp:posOffset>
          </wp:positionH>
          <wp:positionV relativeFrom="page">
            <wp:posOffset>460963</wp:posOffset>
          </wp:positionV>
          <wp:extent cx="1388737" cy="709143"/>
          <wp:effectExtent b="0" l="0" r="0" t="0"/>
          <wp:wrapSquare wrapText="bothSides" distB="114300" distT="114300" distL="114300" distR="114300"/>
          <wp:docPr id="3" name="image3.png"/>
          <a:graphic>
            <a:graphicData uri="http://schemas.openxmlformats.org/drawingml/2006/picture">
              <pic:pic>
                <pic:nvPicPr>
                  <pic:cNvPr id="0" name="image3.png"/>
                  <pic:cNvPicPr preferRelativeResize="0"/>
                </pic:nvPicPr>
                <pic:blipFill>
                  <a:blip r:embed="rId2"/>
                  <a:srcRect b="0" l="739" r="739" t="0"/>
                  <a:stretch>
                    <a:fillRect/>
                  </a:stretch>
                </pic:blipFill>
                <pic:spPr>
                  <a:xfrm>
                    <a:off x="0" y="0"/>
                    <a:ext cx="1388737" cy="709143"/>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image" Target="media/image2.jpg"/><Relationship Id="rId7" Type="http://schemas.openxmlformats.org/officeDocument/2006/relationships/hyperlink" Target="https://www.brockhaus.de" TargetMode="External"/><Relationship Id="rId8" Type="http://schemas.openxmlformats.org/officeDocument/2006/relationships/hyperlink" Target="http://www.brockhaus.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